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A2" w:rsidRPr="00805AC9" w:rsidRDefault="006F2AA2" w:rsidP="006F2AA2">
      <w:r w:rsidRPr="00805AC9">
        <w:t>№</w:t>
      </w:r>
      <w:r w:rsidR="00066E98">
        <w:t>4</w:t>
      </w:r>
      <w:r w:rsidRPr="00805AC9">
        <w:t xml:space="preserve"> 201</w:t>
      </w:r>
      <w:r>
        <w:t>6</w:t>
      </w:r>
    </w:p>
    <w:p w:rsidR="006F2AA2" w:rsidRPr="00805AC9" w:rsidRDefault="006F2AA2" w:rsidP="006F2AA2"/>
    <w:p w:rsidR="006F2AA2" w:rsidRDefault="006F2AA2" w:rsidP="006F2AA2">
      <w:r w:rsidRPr="00507025">
        <w:rPr>
          <w:b/>
        </w:rPr>
        <w:t>ПРИРОДА</w:t>
      </w:r>
    </w:p>
    <w:p w:rsidR="006F2AA2" w:rsidRDefault="006F2AA2" w:rsidP="006F2AA2"/>
    <w:p w:rsidR="006F2AA2" w:rsidRPr="002A27C5" w:rsidRDefault="006F2AA2" w:rsidP="00E11C5C">
      <w:pPr>
        <w:rPr>
          <w:b/>
        </w:rPr>
      </w:pPr>
      <w:r w:rsidRPr="002A27C5">
        <w:rPr>
          <w:b/>
        </w:rPr>
        <w:t xml:space="preserve">Общие вопросы природопользования </w:t>
      </w:r>
    </w:p>
    <w:p w:rsidR="002A27C5" w:rsidRDefault="002A27C5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 xml:space="preserve">Насущные природоохранные перспективы России </w:t>
      </w:r>
    </w:p>
    <w:p w:rsidR="00E11C5C" w:rsidRPr="00E11C5C" w:rsidRDefault="00E11C5C" w:rsidP="00E11C5C">
      <w:r w:rsidRPr="00E11C5C">
        <w:t xml:space="preserve">Б.Н. Лузгин, д.г.н., к.г.-м.н., проф., Алтайский государственный университет, г. Барнаул </w:t>
      </w:r>
    </w:p>
    <w:p w:rsidR="00E11C5C" w:rsidRPr="00E11C5C" w:rsidRDefault="00E11C5C" w:rsidP="00E11C5C">
      <w:r w:rsidRPr="00E11C5C">
        <w:t>На примере России рассмотрены особенности роста сферы глобального экологического кризиса. Привле</w:t>
      </w:r>
      <w:r w:rsidRPr="00E11C5C">
        <w:softHyphen/>
        <w:t xml:space="preserve">чено внимание к значительному снижению природоохранной роли ООПТ. Обоснован вывод о необходимости радикального усиления роли, значения и эффективности природоохранных систем по сравнению с увеличением размеров этих площадей. </w:t>
      </w:r>
    </w:p>
    <w:p w:rsidR="00F80AC8" w:rsidRPr="00E11C5C" w:rsidRDefault="00E11C5C" w:rsidP="00E11C5C">
      <w:r w:rsidRPr="00E11C5C">
        <w:t>Ключевые слова: природоохранные системы, заповедники, глобальный э</w:t>
      </w:r>
      <w:r w:rsidR="002A27C5">
        <w:t>кологический кризис, нивелирова</w:t>
      </w:r>
      <w:r w:rsidRPr="00E11C5C">
        <w:t>ние состояний экосистем, регламенты ООПТ, ревизия ООПТ.</w:t>
      </w:r>
    </w:p>
    <w:p w:rsidR="00E11C5C" w:rsidRPr="00E11C5C" w:rsidRDefault="00E11C5C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>Минеральные ресурсы</w:t>
      </w:r>
    </w:p>
    <w:p w:rsidR="002A27C5" w:rsidRDefault="002A27C5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 xml:space="preserve">Развитие термоабразии берегового склона озера Сайсары (Якутск) </w:t>
      </w:r>
    </w:p>
    <w:p w:rsidR="00E11C5C" w:rsidRPr="00E11C5C" w:rsidRDefault="00E11C5C" w:rsidP="00E11C5C">
      <w:r w:rsidRPr="00E11C5C">
        <w:t xml:space="preserve">А.М. Сальва, к.г.-м.н., доцент, Северо-Восточный федеральный университет, Якутск </w:t>
      </w:r>
    </w:p>
    <w:p w:rsidR="00E11C5C" w:rsidRPr="00E11C5C" w:rsidRDefault="00E11C5C" w:rsidP="00E11C5C">
      <w:r w:rsidRPr="00E11C5C">
        <w:t xml:space="preserve">Выделены основные факторы активизации термоабразии на западном береговом склоне озера Сайсары в Якутске и определены две ее основные причины. </w:t>
      </w:r>
    </w:p>
    <w:p w:rsidR="00E11C5C" w:rsidRPr="00E11C5C" w:rsidRDefault="00E11C5C" w:rsidP="00E11C5C">
      <w:r w:rsidRPr="00E11C5C">
        <w:t>Ключевые слова: термоабразия, размыв, береговой склон, габионы, мерзлый гру</w:t>
      </w:r>
      <w:r w:rsidR="002A27C5">
        <w:t>нт, структурно-неустойчи</w:t>
      </w:r>
      <w:r w:rsidRPr="00E11C5C">
        <w:t>вые грунты, озеро Сайсары, Якутск.</w:t>
      </w:r>
    </w:p>
    <w:p w:rsidR="00E11C5C" w:rsidRPr="00E11C5C" w:rsidRDefault="00E11C5C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>Водные ресурсы</w:t>
      </w:r>
    </w:p>
    <w:p w:rsidR="002A27C5" w:rsidRDefault="002A27C5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 xml:space="preserve">О развитии внутреннего водного транспорта </w:t>
      </w:r>
    </w:p>
    <w:p w:rsidR="00E11C5C" w:rsidRPr="00E11C5C" w:rsidRDefault="00E11C5C" w:rsidP="00E11C5C">
      <w:r w:rsidRPr="00E11C5C">
        <w:t xml:space="preserve">В.А. Кривошей, д.т.н., НП «Национальный центр водных проблем», Москва </w:t>
      </w:r>
    </w:p>
    <w:p w:rsidR="00E11C5C" w:rsidRPr="00E11C5C" w:rsidRDefault="00E11C5C" w:rsidP="00E11C5C">
      <w:r w:rsidRPr="00E11C5C">
        <w:t>В статье проведен анализ Стратегии развития внутреннего водного тран</w:t>
      </w:r>
      <w:r>
        <w:t>спорта на период до 2030 г. При</w:t>
      </w:r>
      <w:r w:rsidRPr="00E11C5C">
        <w:t>ведено сопоставление фактических и прогнозируемых грузовых и пассажирск</w:t>
      </w:r>
      <w:r>
        <w:t>их перевозок. Показано, что про</w:t>
      </w:r>
      <w:r w:rsidRPr="00E11C5C">
        <w:t xml:space="preserve">гнозируемые перевозки существенно завышены, а предлагаемые для развития внутреннего водного транспорта мероприятия, необоснованны. </w:t>
      </w:r>
    </w:p>
    <w:p w:rsidR="00E11C5C" w:rsidRPr="00E11C5C" w:rsidRDefault="00E11C5C" w:rsidP="00E11C5C">
      <w:r w:rsidRPr="00E11C5C">
        <w:t>Ключевые слова: водные ресурсы, внутренние водные пути, внутренний</w:t>
      </w:r>
      <w:r>
        <w:t xml:space="preserve"> водный транспорт, речной транс</w:t>
      </w:r>
      <w:r w:rsidRPr="00E11C5C">
        <w:t>порт, гидроузлы, судоходство, судоходные гидротехнические сооружения.</w:t>
      </w:r>
    </w:p>
    <w:p w:rsidR="00E11C5C" w:rsidRPr="00E11C5C" w:rsidRDefault="00E11C5C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>Земельные ресурсы и почвы</w:t>
      </w:r>
    </w:p>
    <w:p w:rsidR="002A27C5" w:rsidRDefault="002A27C5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 xml:space="preserve">Эколого-экономическая оценка земель: методология и перспективы развития </w:t>
      </w:r>
    </w:p>
    <w:p w:rsidR="00E11C5C" w:rsidRPr="00E11C5C" w:rsidRDefault="00E11C5C" w:rsidP="00E11C5C">
      <w:r w:rsidRPr="00E11C5C">
        <w:t xml:space="preserve">О.А. Макаров, д.б.н., Е.В. Цветнов, к.б.н., Я.Р. Ермияев Факультет почвоведения МГУ им. М.В. Ломоносова </w:t>
      </w:r>
    </w:p>
    <w:p w:rsidR="00E11C5C" w:rsidRPr="00E11C5C" w:rsidRDefault="00E11C5C" w:rsidP="00E11C5C">
      <w:r w:rsidRPr="00E11C5C">
        <w:t xml:space="preserve">Эколого-экономическая оценка земель определена как установление </w:t>
      </w:r>
      <w:r w:rsidR="002A27C5">
        <w:t>убытков или преимуществ в денеж</w:t>
      </w:r>
      <w:r w:rsidRPr="00E11C5C">
        <w:t>ной форме от использования различных природных объектов и окружающ</w:t>
      </w:r>
      <w:r w:rsidR="002A27C5">
        <w:t>ей среды в целом, а также – при</w:t>
      </w:r>
      <w:r w:rsidRPr="00E11C5C">
        <w:t>родоохранных технологий. Проведен подробный анализ методов указанной оценки. Установлено, что в России преобладают подходы, связанные с определением наносимого землям в результате процессов деградации, за</w:t>
      </w:r>
      <w:r w:rsidRPr="00E11C5C">
        <w:softHyphen/>
        <w:t xml:space="preserve">грязнения, захламления и порчи ущерба/вреда. Отмечается, что методы эколого-экономической оценки земель, основанные на определении прибыли от их оптимального использования и на сопоставлении этой прибыли с убытками, в том числе от их </w:t>
      </w:r>
      <w:r w:rsidRPr="00E11C5C">
        <w:lastRenderedPageBreak/>
        <w:t xml:space="preserve">нерационального использования, имеют наибольшую перспективу для выработки стратегии устойчивого развития территорий. </w:t>
      </w:r>
    </w:p>
    <w:p w:rsidR="00E11C5C" w:rsidRPr="00E11C5C" w:rsidRDefault="00E11C5C" w:rsidP="00E11C5C">
      <w:r w:rsidRPr="00E11C5C">
        <w:t>Ключевые слова: эколого-экономическая оценка, ущерб, вред, устойчивое землепользование, экосистемные сервисы.</w:t>
      </w:r>
    </w:p>
    <w:p w:rsidR="00E11C5C" w:rsidRPr="00E11C5C" w:rsidRDefault="00E11C5C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>Биологические ресурсы суши</w:t>
      </w:r>
    </w:p>
    <w:p w:rsidR="002A27C5" w:rsidRDefault="002A27C5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 xml:space="preserve">Фитомасса долинных лугов. Взаимосвязь с величиной вегетационного индекса (по результатам наземного спектрометрирования) </w:t>
      </w:r>
    </w:p>
    <w:p w:rsidR="00E11C5C" w:rsidRPr="00E11C5C" w:rsidRDefault="00E11C5C" w:rsidP="00E11C5C">
      <w:r w:rsidRPr="00E11C5C">
        <w:t xml:space="preserve">И.М. Микляева, к.г.н., О.В. Вахнина Географический факультет МГУ им. М.В. Ломоносова </w:t>
      </w:r>
    </w:p>
    <w:p w:rsidR="00E11C5C" w:rsidRPr="00E11C5C" w:rsidRDefault="00E11C5C" w:rsidP="00E11C5C">
      <w:r w:rsidRPr="00E11C5C">
        <w:t>Рассматриваются результаты многолетних исследований фитомассы лугов, ее динамики и кормового качества на примере лугов долины р. Протвы, расположенной в южной части зоны шир</w:t>
      </w:r>
      <w:r w:rsidR="002A27C5">
        <w:t>околиственно-хвойных лесов евро</w:t>
      </w:r>
      <w:r w:rsidRPr="00E11C5C">
        <w:t>пейской части РФ (Боровский район Калужской области). Выявлена величина фитомассы разных типов лугов и ее связь с видовой насыщенностью сообществ, объемами фитоценотических гориз</w:t>
      </w:r>
      <w:r w:rsidR="002A27C5">
        <w:t>онтов и значениями нормализован</w:t>
      </w:r>
      <w:r w:rsidRPr="00E11C5C">
        <w:t xml:space="preserve">ного разностного вегетационного индекса NDVI, полученного при наземном спектрометрировании. </w:t>
      </w:r>
    </w:p>
    <w:p w:rsidR="00E11C5C" w:rsidRPr="00E11C5C" w:rsidRDefault="00E11C5C" w:rsidP="00E11C5C">
      <w:r w:rsidRPr="00E11C5C">
        <w:t>Ключевые слова: фитомасса долинных лугов, кормовое качество, видовая насы</w:t>
      </w:r>
      <w:r w:rsidR="002A27C5">
        <w:t>щенность луговых сообществ, объ</w:t>
      </w:r>
      <w:r w:rsidRPr="00E11C5C">
        <w:t>ем фитоценотических горизонтов, наземное спектрометрирование, нормал</w:t>
      </w:r>
      <w:r w:rsidR="002A27C5">
        <w:t>изованный разностный вегетацион</w:t>
      </w:r>
      <w:r w:rsidRPr="00E11C5C">
        <w:t>ный индекс (NDVI).</w:t>
      </w:r>
    </w:p>
    <w:p w:rsidR="00E11C5C" w:rsidRPr="00E11C5C" w:rsidRDefault="00E11C5C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 xml:space="preserve">Современное состояние водохранилища Деед-Хулсун и его воздействие на прибрежную орнитофауну вследствие изменения водного режима и усиления антропогенной нагрузки </w:t>
      </w:r>
    </w:p>
    <w:p w:rsidR="00E11C5C" w:rsidRPr="00E11C5C" w:rsidRDefault="00E11C5C" w:rsidP="00E11C5C">
      <w:r w:rsidRPr="00E11C5C">
        <w:t xml:space="preserve">И.Б. Шаповалова, к.б.н., н.с., Федеральное государственное бюджетное учреждение науки Институт водных проблем Российской академии наук (ИВП РАН) </w:t>
      </w:r>
    </w:p>
    <w:p w:rsidR="00E11C5C" w:rsidRPr="00E11C5C" w:rsidRDefault="00E11C5C" w:rsidP="00E11C5C">
      <w:r w:rsidRPr="00E11C5C">
        <w:t>Определено современное состояние водохранилища Деед-Хулсун республи</w:t>
      </w:r>
      <w:r w:rsidR="002A27C5">
        <w:t>ки Калмыкия и его прибрежной ор</w:t>
      </w:r>
      <w:r w:rsidRPr="00E11C5C">
        <w:t>нитофауны в результате изменения водного режима водоема, вследствие увеличе</w:t>
      </w:r>
      <w:r w:rsidR="002A27C5">
        <w:t>ния антропогенной нагрузки. Оце</w:t>
      </w:r>
      <w:r w:rsidRPr="00E11C5C">
        <w:t>нено видовое богатство, плотность населения птиц на его прибрежных участках. Выявлены основные диагностиче</w:t>
      </w:r>
      <w:r w:rsidRPr="00E11C5C">
        <w:softHyphen/>
        <w:t xml:space="preserve">ские показатели трансформации орнитокомплексов, вследствие изменения водного режима водоема (обводнение) в связи с его зарыблением, что является предпосылкой к обсуждению предложений по управлению режимом водоема. Рассмотрен вклад водохранилища Деед-Хулсун в формирование орнитофауны региона. </w:t>
      </w:r>
    </w:p>
    <w:p w:rsidR="00E11C5C" w:rsidRPr="00E11C5C" w:rsidRDefault="00E11C5C" w:rsidP="00E11C5C">
      <w:r w:rsidRPr="00E11C5C">
        <w:t>Ключевые слова: степная зона, водохранилище, экотонная система, орнитоко</w:t>
      </w:r>
      <w:r w:rsidR="002A27C5">
        <w:t>мплексы, экосистема, трансформа</w:t>
      </w:r>
      <w:r w:rsidRPr="00E11C5C">
        <w:t>ция, водный режим, основные факторы воздействия на орнитокомплексы.</w:t>
      </w:r>
    </w:p>
    <w:p w:rsidR="00E11C5C" w:rsidRPr="00E11C5C" w:rsidRDefault="00E11C5C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 xml:space="preserve">Кормовая поддержка сибирской косули в аномальные периоды зимнего цикла в государственном природном заказнике «Кирзинский» </w:t>
      </w:r>
    </w:p>
    <w:p w:rsidR="00E11C5C" w:rsidRPr="00E11C5C" w:rsidRDefault="00E11C5C" w:rsidP="00E11C5C">
      <w:r w:rsidRPr="00E11C5C">
        <w:t xml:space="preserve">В.Б. Ермолик, Новосибирский государственный аграрный университет </w:t>
      </w:r>
    </w:p>
    <w:p w:rsidR="00E11C5C" w:rsidRPr="00E11C5C" w:rsidRDefault="00E11C5C" w:rsidP="00E11C5C">
      <w:r w:rsidRPr="00E11C5C">
        <w:t>В статье рассматриваются проблемы сохранения и увеличения численнос</w:t>
      </w:r>
      <w:r w:rsidR="002A27C5">
        <w:t>ти дикой фауны на территории за</w:t>
      </w:r>
      <w:r w:rsidRPr="00E11C5C">
        <w:t>казников. Показаны биотехнические мероприятия, направленные на улучшение</w:t>
      </w:r>
      <w:r w:rsidR="002A27C5">
        <w:t xml:space="preserve"> условий обитания охотничьих жи</w:t>
      </w:r>
      <w:r w:rsidRPr="00E11C5C">
        <w:t>вотных, в частности такого вида фауны как сибирская косуля (Capreolus pygargus), которой необходима в суровые многоснежные зимы подкормка. Автором выявлено, что самой лучшей и доступной биотехнической культурой в критические периоды зимних аномалий, бесспорно, является подсолнечник. Имен</w:t>
      </w:r>
      <w:r w:rsidR="002A27C5">
        <w:t>но в тех местах, где был подсол</w:t>
      </w:r>
      <w:r w:rsidRPr="00E11C5C">
        <w:t xml:space="preserve">нечник, отмечены массовые скопления косуль. </w:t>
      </w:r>
    </w:p>
    <w:p w:rsidR="00E11C5C" w:rsidRPr="00E11C5C" w:rsidRDefault="00E11C5C" w:rsidP="00E11C5C">
      <w:r w:rsidRPr="00E11C5C">
        <w:t>Ключевые слова: кормовая подкормка, сибирская косуля, зимний период, подсолнечник.</w:t>
      </w:r>
    </w:p>
    <w:p w:rsidR="00E11C5C" w:rsidRPr="00E11C5C" w:rsidRDefault="00E11C5C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lastRenderedPageBreak/>
        <w:t>Водные биологические ресурсы</w:t>
      </w:r>
    </w:p>
    <w:p w:rsidR="002A27C5" w:rsidRDefault="002A27C5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 xml:space="preserve">Требования национальных и международных стандартов к качеству культивационной воды в практике применения гидробионтов для оценки экологической токсичности </w:t>
      </w:r>
    </w:p>
    <w:p w:rsidR="002A27C5" w:rsidRDefault="00E11C5C" w:rsidP="00E11C5C">
      <w:r w:rsidRPr="00E11C5C">
        <w:t>Е.В. Федосеева</w:t>
      </w:r>
      <w:r w:rsidRPr="002A27C5">
        <w:rPr>
          <w:vertAlign w:val="superscript"/>
        </w:rPr>
        <w:t>1</w:t>
      </w:r>
      <w:r w:rsidRPr="00E11C5C">
        <w:t>, к.б.н., М.М. Гладкова</w:t>
      </w:r>
      <w:r w:rsidRPr="002A27C5">
        <w:rPr>
          <w:vertAlign w:val="superscript"/>
        </w:rPr>
        <w:t>2</w:t>
      </w:r>
      <w:r w:rsidRPr="00E11C5C">
        <w:t>, П.В. Учанов</w:t>
      </w:r>
      <w:r w:rsidRPr="002A27C5">
        <w:rPr>
          <w:vertAlign w:val="superscript"/>
        </w:rPr>
        <w:t>3</w:t>
      </w:r>
      <w:r w:rsidRPr="00E11C5C">
        <w:t>, В.А. Терехова</w:t>
      </w:r>
      <w:r w:rsidRPr="002A27C5">
        <w:rPr>
          <w:vertAlign w:val="superscript"/>
        </w:rPr>
        <w:t>1,2</w:t>
      </w:r>
      <w:r w:rsidRPr="00E11C5C">
        <w:t xml:space="preserve">, д.б.н. </w:t>
      </w:r>
    </w:p>
    <w:p w:rsidR="002A27C5" w:rsidRDefault="002A27C5" w:rsidP="00E11C5C">
      <w:r w:rsidRPr="002A27C5">
        <w:rPr>
          <w:vertAlign w:val="superscript"/>
        </w:rPr>
        <w:t>1</w:t>
      </w:r>
      <w:r w:rsidR="00E11C5C" w:rsidRPr="00E11C5C">
        <w:t xml:space="preserve">Российский национальный исследовательский медицинский университет им. Н.И. Пирогова </w:t>
      </w:r>
    </w:p>
    <w:p w:rsidR="002A27C5" w:rsidRDefault="002A27C5" w:rsidP="00E11C5C">
      <w:r w:rsidRPr="002A27C5">
        <w:rPr>
          <w:vertAlign w:val="superscript"/>
        </w:rPr>
        <w:t>2</w:t>
      </w:r>
      <w:r w:rsidR="00E11C5C" w:rsidRPr="00E11C5C">
        <w:t xml:space="preserve">Московский государственный университет им. М.В. Ломоносова </w:t>
      </w:r>
    </w:p>
    <w:p w:rsidR="00E11C5C" w:rsidRPr="00E11C5C" w:rsidRDefault="002A27C5" w:rsidP="00E11C5C">
      <w:r w:rsidRPr="002A27C5">
        <w:rPr>
          <w:vertAlign w:val="superscript"/>
        </w:rPr>
        <w:t>3</w:t>
      </w:r>
      <w:r w:rsidR="00E11C5C" w:rsidRPr="00E11C5C">
        <w:t xml:space="preserve">Институт проблем экологии и эволюции им. А.Н. Северцова РАН </w:t>
      </w:r>
    </w:p>
    <w:p w:rsidR="00E11C5C" w:rsidRPr="00E11C5C" w:rsidRDefault="00E11C5C" w:rsidP="00E11C5C">
      <w:r w:rsidRPr="00E11C5C">
        <w:t xml:space="preserve">Обобщены требования стандартов и методических руководств к условиям </w:t>
      </w:r>
      <w:r w:rsidR="002A27C5">
        <w:t>культивирования пресноводных ги</w:t>
      </w:r>
      <w:r w:rsidRPr="00E11C5C">
        <w:t>дробионтов в токсикологических исследованиях по оценке качества окружающей среды. Подчеркивается влияние качества воды на результаты биотестов. Критически рассмотрен перечень показа</w:t>
      </w:r>
      <w:r w:rsidR="002A27C5">
        <w:t>телей, рекомендуемых для контро</w:t>
      </w:r>
      <w:r w:rsidRPr="00E11C5C">
        <w:t>ля химических и физических характеристик исследуемых проб вод непостоянног</w:t>
      </w:r>
      <w:r w:rsidR="002A27C5">
        <w:t>о качества. Приводится оптималь</w:t>
      </w:r>
      <w:r w:rsidRPr="00E11C5C">
        <w:t>ный состав синтетических сред, используемых для культивирования пресноводных гидробионтов. Обосновываются рекомендации по применению воды идентичного состава для культивирования пр</w:t>
      </w:r>
      <w:r w:rsidR="002A27C5">
        <w:t>есноводных гидробионтов и разве</w:t>
      </w:r>
      <w:r w:rsidRPr="00E11C5C">
        <w:t>дения проб при исследовании степени их экотоксичности, а также оценке чувстви</w:t>
      </w:r>
      <w:r w:rsidR="002A27C5">
        <w:t>тельности тест-культур к модель</w:t>
      </w:r>
      <w:r w:rsidRPr="00E11C5C">
        <w:t xml:space="preserve">ному токсиканту (токсиканту сравнения). </w:t>
      </w:r>
    </w:p>
    <w:p w:rsidR="00E11C5C" w:rsidRPr="00E11C5C" w:rsidRDefault="00E11C5C" w:rsidP="00E11C5C">
      <w:r w:rsidRPr="00E11C5C">
        <w:t xml:space="preserve">Ключевые слова: экологическая токсичность, биотестирование, гидробионты, </w:t>
      </w:r>
      <w:r w:rsidR="002A27C5">
        <w:t>отходы, стандарты, межлаборатор</w:t>
      </w:r>
      <w:r w:rsidRPr="00E11C5C">
        <w:t>ные сравнения, культивационная вода, природная вода, синтетические среды.</w:t>
      </w:r>
    </w:p>
    <w:p w:rsidR="00E11C5C" w:rsidRPr="00E11C5C" w:rsidRDefault="00E11C5C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>Климатические ресурсы</w:t>
      </w:r>
    </w:p>
    <w:p w:rsidR="002A27C5" w:rsidRDefault="002A27C5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 xml:space="preserve">Многолетние изменения основных метеорологических характеристик в бассейне Амура </w:t>
      </w:r>
    </w:p>
    <w:p w:rsidR="002A27C5" w:rsidRDefault="00E11C5C" w:rsidP="00E11C5C">
      <w:r w:rsidRPr="00E11C5C">
        <w:t>Ж.В. Кузьмина</w:t>
      </w:r>
      <w:r w:rsidRPr="002A27C5">
        <w:rPr>
          <w:vertAlign w:val="superscript"/>
        </w:rPr>
        <w:t>1</w:t>
      </w:r>
      <w:r w:rsidRPr="00E11C5C">
        <w:t>, д.г.н., С.Е. Трешкин</w:t>
      </w:r>
      <w:r w:rsidRPr="002A27C5">
        <w:rPr>
          <w:vertAlign w:val="superscript"/>
        </w:rPr>
        <w:t>2</w:t>
      </w:r>
      <w:r w:rsidRPr="00E11C5C">
        <w:t xml:space="preserve">, д.с.-х.н. </w:t>
      </w:r>
    </w:p>
    <w:p w:rsidR="002A27C5" w:rsidRDefault="002A27C5" w:rsidP="00E11C5C">
      <w:r w:rsidRPr="002A27C5">
        <w:rPr>
          <w:vertAlign w:val="superscript"/>
        </w:rPr>
        <w:t>1</w:t>
      </w:r>
      <w:r>
        <w:t>Институт водных проблем РАН</w:t>
      </w:r>
    </w:p>
    <w:p w:rsidR="00E11C5C" w:rsidRPr="00E11C5C" w:rsidRDefault="002A27C5" w:rsidP="00E11C5C">
      <w:r w:rsidRPr="002A27C5">
        <w:rPr>
          <w:vertAlign w:val="superscript"/>
        </w:rPr>
        <w:t>2</w:t>
      </w:r>
      <w:r w:rsidR="00E11C5C" w:rsidRPr="00E11C5C">
        <w:t xml:space="preserve">Федеральное агентство научных организаций </w:t>
      </w:r>
    </w:p>
    <w:p w:rsidR="00E11C5C" w:rsidRPr="00E11C5C" w:rsidRDefault="00E11C5C" w:rsidP="00E11C5C">
      <w:r w:rsidRPr="00E11C5C">
        <w:t>Для бассейна Амура проанализирована многолетняя годовая, полугодовая и сезонная динамика основных метеорологических характеристик (суммарных атмосферных осадков и темп</w:t>
      </w:r>
      <w:r w:rsidR="002A27C5">
        <w:t>ературы воздуха: средних, макси</w:t>
      </w:r>
      <w:r w:rsidRPr="00E11C5C">
        <w:t>мальных и минимальных) по их трендам за многолетний период (за 54-174 года, т.е. с момента открытия станций по 2013 г.) на основе суточных наблюдений 19 метеорологических станций ВМО. Проведено сравнение полу</w:t>
      </w:r>
      <w:r w:rsidRPr="00E11C5C">
        <w:softHyphen/>
        <w:t xml:space="preserve">ченных данных с тремя метеостанциями сибирского Ленского бассейна. </w:t>
      </w:r>
      <w:r w:rsidR="002A27C5">
        <w:t>Оценена доля климатических изме</w:t>
      </w:r>
      <w:r w:rsidRPr="00E11C5C">
        <w:t xml:space="preserve">нений на основе предложенного относительного коэффициента изменений метеорологических характеристик. </w:t>
      </w:r>
    </w:p>
    <w:p w:rsidR="00E11C5C" w:rsidRPr="00E11C5C" w:rsidRDefault="00E11C5C" w:rsidP="00E11C5C">
      <w:r w:rsidRPr="00E11C5C">
        <w:t xml:space="preserve">Ключевые слова: средняя, абсолютная минимальная, абсолютная максимальная, средняя максимальная, средняя минимальная температура воздуха, суммарные атмосферные осадки; </w:t>
      </w:r>
      <w:r w:rsidR="002A27C5">
        <w:t>относительный коэффициент из</w:t>
      </w:r>
      <w:r w:rsidRPr="00E11C5C">
        <w:t>менений основных метеорологических характеристик (ОКИ), климатические изменения.</w:t>
      </w:r>
    </w:p>
    <w:p w:rsidR="00E11C5C" w:rsidRPr="00E11C5C" w:rsidRDefault="00E11C5C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>Рекреационные ресурсы и ООПТ</w:t>
      </w:r>
    </w:p>
    <w:p w:rsidR="002A27C5" w:rsidRDefault="002A27C5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 xml:space="preserve">Роль регионального геологического музея в сохранении природных ресурсов европейского северо-востока России </w:t>
      </w:r>
    </w:p>
    <w:p w:rsidR="00E11C5C" w:rsidRPr="00E11C5C" w:rsidRDefault="00E11C5C" w:rsidP="00E11C5C">
      <w:r w:rsidRPr="00E11C5C">
        <w:t xml:space="preserve">И.С. Астахова, к.г.-м.н., Л.Р. Жданова, И.Н. Бурцев, к.г.-м.н. Институт геологии Коми НЦ УрО РАН, Сыктывкар </w:t>
      </w:r>
    </w:p>
    <w:p w:rsidR="00E11C5C" w:rsidRPr="00E11C5C" w:rsidRDefault="00E11C5C" w:rsidP="00E11C5C">
      <w:r w:rsidRPr="00E11C5C">
        <w:t>В статье приводятся информационные ресурсы регионального музея, п</w:t>
      </w:r>
      <w:r w:rsidR="002A27C5">
        <w:t>озволяющие комплексно рассматри</w:t>
      </w:r>
      <w:r w:rsidRPr="00E11C5C">
        <w:t xml:space="preserve">вать проблемы сохранения геологических объектов на территории </w:t>
      </w:r>
      <w:r w:rsidRPr="00E11C5C">
        <w:lastRenderedPageBreak/>
        <w:t>европейско</w:t>
      </w:r>
      <w:r w:rsidR="002A27C5">
        <w:t>го северо-востока России. Описы</w:t>
      </w:r>
      <w:r w:rsidRPr="00E11C5C">
        <w:t>вается картографический материал с указанием утвержденных и вновь выявле</w:t>
      </w:r>
      <w:r w:rsidR="002A27C5">
        <w:t>нных объектов геологического на</w:t>
      </w:r>
      <w:r w:rsidRPr="00E11C5C">
        <w:t xml:space="preserve">следия. Рассмотрен коллекционный фонд музея, характеризующий уникальные геологические объекты региона. </w:t>
      </w:r>
    </w:p>
    <w:p w:rsidR="00E11C5C" w:rsidRPr="00E11C5C" w:rsidRDefault="00E11C5C" w:rsidP="00E11C5C">
      <w:r w:rsidRPr="00E11C5C">
        <w:t>Ключевые слова: ООПТ, геологические памятники, карта, музефикация, европейский северо-восток России.</w:t>
      </w:r>
    </w:p>
    <w:p w:rsidR="00E11C5C" w:rsidRPr="00E11C5C" w:rsidRDefault="00E11C5C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 xml:space="preserve">Биоразнообразие и редкие виды растений ООПТ таежной зоны Западной Сибири </w:t>
      </w:r>
    </w:p>
    <w:p w:rsidR="00E11C5C" w:rsidRPr="00E11C5C" w:rsidRDefault="00E11C5C" w:rsidP="00E11C5C">
      <w:r w:rsidRPr="00E11C5C">
        <w:t xml:space="preserve">Н.М. Семенова, к.г.н., И.И. Волкова, к.б.н., В.П. Амельченко, к.б.н., И.В. Волков, к.б.н. Томский государственный университет </w:t>
      </w:r>
    </w:p>
    <w:p w:rsidR="00E11C5C" w:rsidRPr="00E11C5C" w:rsidRDefault="00E11C5C" w:rsidP="00E11C5C">
      <w:r w:rsidRPr="00E11C5C">
        <w:t>Приводятся данные о ботаническом разнообразии отдельных ООПТ таежной зоны Западной Сибири (в границах Томской области), созданных в разных ландшафтно-географическ</w:t>
      </w:r>
      <w:r w:rsidR="002A27C5">
        <w:t>их и административно-хозяйствен</w:t>
      </w:r>
      <w:r w:rsidRPr="00E11C5C">
        <w:t>ных условиях. Дан анализ распространения и состояния отдельных видов семейств Orchidaceae, Ericaceae, Cupressaceae, Tiliaceae и Lamiaceae, зарегистрированных при исследовани</w:t>
      </w:r>
      <w:r w:rsidR="002A27C5">
        <w:t>и ООПТ областного значения. При</w:t>
      </w:r>
      <w:r w:rsidRPr="00E11C5C">
        <w:t>водятся краткие видовые очерки и рассматриваются места находок 6 видов растений (ятрышник шлемоносный, ятрышник Фукса, можжевельник обыкновенный, водяника, липа сердцелистн</w:t>
      </w:r>
      <w:r w:rsidR="002A27C5">
        <w:t>ая, чистец лесной), имеющих раз</w:t>
      </w:r>
      <w:r w:rsidRPr="00E11C5C">
        <w:t xml:space="preserve">ный природоохранный статус в исследуемом регионе. </w:t>
      </w:r>
    </w:p>
    <w:p w:rsidR="00E11C5C" w:rsidRPr="00E11C5C" w:rsidRDefault="00E11C5C" w:rsidP="00E11C5C">
      <w:r w:rsidRPr="00E11C5C">
        <w:t>Ключевые слова: биоразнообразие, тайга, болота, особо охраняемые природные территории, Западная Сибирь.</w:t>
      </w:r>
    </w:p>
    <w:p w:rsidR="00E11C5C" w:rsidRPr="00E11C5C" w:rsidRDefault="00E11C5C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>Охрана окружающей среды</w:t>
      </w:r>
    </w:p>
    <w:p w:rsidR="00E11C5C" w:rsidRPr="00E11C5C" w:rsidRDefault="00E11C5C" w:rsidP="00E11C5C">
      <w:r w:rsidRPr="00E11C5C">
        <w:t xml:space="preserve">Экологические аспекты космической деятельности </w:t>
      </w:r>
    </w:p>
    <w:p w:rsidR="00E11C5C" w:rsidRPr="00E11C5C" w:rsidRDefault="00E11C5C" w:rsidP="00E11C5C">
      <w:r w:rsidRPr="00E11C5C">
        <w:t xml:space="preserve">И.Ф. Крестников, Институт прикладной геофизики им. академика Е.К.Федорова </w:t>
      </w:r>
    </w:p>
    <w:p w:rsidR="00E11C5C" w:rsidRPr="00E11C5C" w:rsidRDefault="00E11C5C" w:rsidP="00E11C5C">
      <w:r w:rsidRPr="00E11C5C">
        <w:t>В статье рассматриваются особенности космической деятельности как</w:t>
      </w:r>
      <w:r w:rsidR="002A27C5">
        <w:t xml:space="preserve"> фактора формирования экологиче</w:t>
      </w:r>
      <w:r w:rsidRPr="00E11C5C">
        <w:t>ской ситуации. Приводятся результаты эмпирических исследований. Осве</w:t>
      </w:r>
      <w:r w:rsidR="002A27C5">
        <w:t>щаются некоторые проблемы форми</w:t>
      </w:r>
      <w:r w:rsidRPr="00E11C5C">
        <w:t xml:space="preserve">рования общественного мнения по социально-экологическим последствиям космической деятельности. </w:t>
      </w:r>
    </w:p>
    <w:p w:rsidR="00E11C5C" w:rsidRPr="00E11C5C" w:rsidRDefault="00E11C5C" w:rsidP="00E11C5C">
      <w:r w:rsidRPr="00E11C5C">
        <w:t>Ключевые слова: экологический фактор, космическая деятельность, общественное мнение.</w:t>
      </w:r>
    </w:p>
    <w:p w:rsidR="00E11C5C" w:rsidRPr="00E11C5C" w:rsidRDefault="00E11C5C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 xml:space="preserve">Изучение экологического состояния озера Халактырского в условиях воздействия городской среды (г. Петропавловск-Камчатский) </w:t>
      </w:r>
    </w:p>
    <w:p w:rsidR="00E11C5C" w:rsidRPr="00E11C5C" w:rsidRDefault="00E11C5C" w:rsidP="00E11C5C">
      <w:r w:rsidRPr="00E11C5C">
        <w:t xml:space="preserve">А.Е. Голованева, Камчатский государственный технический университет </w:t>
      </w:r>
    </w:p>
    <w:p w:rsidR="00E11C5C" w:rsidRPr="00E11C5C" w:rsidRDefault="00E11C5C" w:rsidP="00E11C5C">
      <w:r w:rsidRPr="00E11C5C">
        <w:t xml:space="preserve">По результатам гидрохимических анализов 70-х гг., а также 2009-2010 гг. </w:t>
      </w:r>
      <w:r w:rsidR="002A27C5">
        <w:t>и 2013 г. определена прямая кор</w:t>
      </w:r>
      <w:r w:rsidRPr="00E11C5C">
        <w:t>реляция между источниками загрязнения (коммунально-бытовые сточные п</w:t>
      </w:r>
      <w:r w:rsidR="002A27C5">
        <w:t>. Дальний и Халактырка) и содер</w:t>
      </w:r>
      <w:r w:rsidRPr="00E11C5C">
        <w:t>жанием превышающих показатели ПДК значений фосфора, аммонийного азота и АПАВ озера Халактырское. Показано, что источник поступления нефтепродуктов в водоем является впадающая в озеро р. Кирпичная, со</w:t>
      </w:r>
      <w:r w:rsidRPr="00E11C5C">
        <w:softHyphen/>
        <w:t xml:space="preserve">держание железа на всех станциях исследования превышает значения ПДК, сбрасываемые нагретые сточные воды ТЭЦ-2 приводят к тепловому загрязнению водоема. </w:t>
      </w:r>
    </w:p>
    <w:p w:rsidR="00E11C5C" w:rsidRPr="00E11C5C" w:rsidRDefault="00E11C5C" w:rsidP="00E11C5C">
      <w:r w:rsidRPr="00E11C5C">
        <w:t>Ключевые слова: озеро Халактырское, антропогенное воздействие, эвтрофирование, сточные воды, тепловое загрязнение водоема.</w:t>
      </w:r>
    </w:p>
    <w:p w:rsidR="00E11C5C" w:rsidRPr="00E11C5C" w:rsidRDefault="00E11C5C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>Геодезия и картография</w:t>
      </w:r>
    </w:p>
    <w:p w:rsidR="002A27C5" w:rsidRDefault="002A27C5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 xml:space="preserve">Геоинформационный анализ проекта постановления Правительства Российской Федерации «Об утверждении правил ведения государственного реестра объектов накопленного вреда окружающей среде» </w:t>
      </w:r>
    </w:p>
    <w:p w:rsidR="00E11C5C" w:rsidRPr="00E11C5C" w:rsidRDefault="00E11C5C" w:rsidP="00E11C5C">
      <w:r w:rsidRPr="00E11C5C">
        <w:t xml:space="preserve">Е.А. Кравец, к.т.н., Московский госуниверситет геодезии и картографии (МИИГАиК) </w:t>
      </w:r>
    </w:p>
    <w:p w:rsidR="00E11C5C" w:rsidRPr="00E11C5C" w:rsidRDefault="00E11C5C" w:rsidP="00E11C5C">
      <w:r w:rsidRPr="00E11C5C">
        <w:t xml:space="preserve">В статье выполнен анализ корректности проекта Постановления Правительства Российской Федерации «Об утверждении правил ведения государственного реестра объектов </w:t>
      </w:r>
      <w:r w:rsidRPr="00E11C5C">
        <w:lastRenderedPageBreak/>
        <w:t xml:space="preserve">накопленного вреда окружающей среде» с точки зрения учета географических особенностей объектов накопленного </w:t>
      </w:r>
      <w:r w:rsidR="002A27C5">
        <w:t>вреда окружающей среде и особен</w:t>
      </w:r>
      <w:r w:rsidRPr="00E11C5C">
        <w:t>ностей формирования информационных потоков в сфере оценки состояния окружающей среды. Даны рекомен</w:t>
      </w:r>
      <w:r w:rsidRPr="00E11C5C">
        <w:softHyphen/>
        <w:t xml:space="preserve">дации по доработке и корректировке данного документа. </w:t>
      </w:r>
    </w:p>
    <w:p w:rsidR="00E11C5C" w:rsidRPr="00E11C5C" w:rsidRDefault="00E11C5C" w:rsidP="00E11C5C">
      <w:r w:rsidRPr="00E11C5C">
        <w:t>Ключевые слова: окружающая среда, геоинформационный анализ, накоп</w:t>
      </w:r>
      <w:r w:rsidR="002A27C5">
        <w:t>ленный вред, государственный ре</w:t>
      </w:r>
      <w:r w:rsidRPr="00E11C5C">
        <w:t>естр, критерий оценки уровня экобезопасности.</w:t>
      </w:r>
    </w:p>
    <w:p w:rsidR="00E11C5C" w:rsidRPr="00E11C5C" w:rsidRDefault="00E11C5C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>Юбилеи</w:t>
      </w:r>
    </w:p>
    <w:p w:rsidR="002A27C5" w:rsidRDefault="002A27C5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 xml:space="preserve">Экологическое образование в Российской Федерации – путь длинной в 25 лет: история, состояние и перспективы </w:t>
      </w:r>
    </w:p>
    <w:p w:rsidR="00E11C5C" w:rsidRPr="00E11C5C" w:rsidRDefault="002A27C5" w:rsidP="00E11C5C">
      <w:r>
        <w:t>Н.Г. Рыбальский</w:t>
      </w:r>
      <w:r w:rsidR="00E11C5C" w:rsidRPr="002A27C5">
        <w:rPr>
          <w:vertAlign w:val="superscript"/>
        </w:rPr>
        <w:t>1,2</w:t>
      </w:r>
      <w:r w:rsidR="00E11C5C" w:rsidRPr="00E11C5C">
        <w:t>, д.б.н., проф., Е.Д. Самотё</w:t>
      </w:r>
      <w:r>
        <w:t>сов</w:t>
      </w:r>
      <w:r w:rsidR="00E11C5C" w:rsidRPr="002A27C5">
        <w:rPr>
          <w:vertAlign w:val="superscript"/>
        </w:rPr>
        <w:t>1</w:t>
      </w:r>
      <w:r>
        <w:t>, Е.В. Колесова</w:t>
      </w:r>
      <w:r w:rsidR="00E11C5C" w:rsidRPr="002A27C5">
        <w:rPr>
          <w:vertAlign w:val="superscript"/>
        </w:rPr>
        <w:t>2,3</w:t>
      </w:r>
      <w:r w:rsidR="00E11C5C" w:rsidRPr="00E11C5C">
        <w:t xml:space="preserve">, к.пед.н., </w:t>
      </w:r>
    </w:p>
    <w:p w:rsidR="00E11C5C" w:rsidRPr="00E11C5C" w:rsidRDefault="002A27C5" w:rsidP="00E11C5C">
      <w:r>
        <w:t>Л.В. Попова</w:t>
      </w:r>
      <w:r w:rsidR="00E11C5C" w:rsidRPr="002A27C5">
        <w:rPr>
          <w:vertAlign w:val="superscript"/>
        </w:rPr>
        <w:t>4</w:t>
      </w:r>
      <w:r>
        <w:t>, д.пед.н., С.А. Степанов</w:t>
      </w:r>
      <w:r w:rsidR="00E11C5C" w:rsidRPr="002A27C5">
        <w:rPr>
          <w:vertAlign w:val="superscript"/>
        </w:rPr>
        <w:t>2,5</w:t>
      </w:r>
      <w:r w:rsidR="00E11C5C" w:rsidRPr="00E11C5C">
        <w:t>,</w:t>
      </w:r>
      <w:r>
        <w:t xml:space="preserve"> д.пед.н., проф., В.Р. Хрисанов</w:t>
      </w:r>
      <w:r w:rsidR="00E11C5C" w:rsidRPr="002A27C5">
        <w:rPr>
          <w:vertAlign w:val="superscript"/>
        </w:rPr>
        <w:t>2,6</w:t>
      </w:r>
      <w:r w:rsidR="00E11C5C" w:rsidRPr="00E11C5C">
        <w:t xml:space="preserve">, к.г.н. </w:t>
      </w:r>
    </w:p>
    <w:p w:rsidR="00E11C5C" w:rsidRPr="00E11C5C" w:rsidRDefault="002A27C5" w:rsidP="00E11C5C">
      <w:r w:rsidRPr="002A27C5">
        <w:rPr>
          <w:vertAlign w:val="superscript"/>
        </w:rPr>
        <w:t>1</w:t>
      </w:r>
      <w:r w:rsidR="00E11C5C" w:rsidRPr="00E11C5C">
        <w:t xml:space="preserve">Национальное информационное агентство «Природные ресурсы» (НИА-Природа) </w:t>
      </w:r>
    </w:p>
    <w:p w:rsidR="00E11C5C" w:rsidRPr="00E11C5C" w:rsidRDefault="002A27C5" w:rsidP="00E11C5C">
      <w:r w:rsidRPr="002A27C5">
        <w:rPr>
          <w:vertAlign w:val="superscript"/>
        </w:rPr>
        <w:t>2</w:t>
      </w:r>
      <w:r w:rsidR="00E11C5C" w:rsidRPr="00E11C5C">
        <w:t xml:space="preserve">Президиум Российской экологической академии </w:t>
      </w:r>
    </w:p>
    <w:p w:rsidR="00E11C5C" w:rsidRPr="00E11C5C" w:rsidRDefault="002A27C5" w:rsidP="00E11C5C">
      <w:r w:rsidRPr="002A27C5">
        <w:rPr>
          <w:vertAlign w:val="superscript"/>
        </w:rPr>
        <w:t>3</w:t>
      </w:r>
      <w:r w:rsidR="00E11C5C" w:rsidRPr="00E11C5C">
        <w:t xml:space="preserve">Эколого просветительский центр «Воробьевы горы» (ГПБУ «Мосприрода») </w:t>
      </w:r>
    </w:p>
    <w:p w:rsidR="00E11C5C" w:rsidRPr="00E11C5C" w:rsidRDefault="002A27C5" w:rsidP="00E11C5C">
      <w:r w:rsidRPr="002A27C5">
        <w:rPr>
          <w:vertAlign w:val="superscript"/>
        </w:rPr>
        <w:t>4</w:t>
      </w:r>
      <w:r w:rsidR="00E11C5C" w:rsidRPr="00E11C5C">
        <w:t xml:space="preserve">Музей землеведения МГУ им. М.В. Ломоносова </w:t>
      </w:r>
    </w:p>
    <w:p w:rsidR="00E11C5C" w:rsidRPr="00E11C5C" w:rsidRDefault="002A27C5" w:rsidP="00E11C5C">
      <w:r w:rsidRPr="002A27C5">
        <w:rPr>
          <w:vertAlign w:val="superscript"/>
        </w:rPr>
        <w:t>5</w:t>
      </w:r>
      <w:r w:rsidR="00E11C5C" w:rsidRPr="00E11C5C">
        <w:t xml:space="preserve">Международный независимый эколого-политологический университет (Академия МНЭПУ) </w:t>
      </w:r>
    </w:p>
    <w:p w:rsidR="00E11C5C" w:rsidRPr="00E11C5C" w:rsidRDefault="002A27C5" w:rsidP="00E11C5C">
      <w:r w:rsidRPr="002A27C5">
        <w:rPr>
          <w:vertAlign w:val="superscript"/>
        </w:rPr>
        <w:t>6</w:t>
      </w:r>
      <w:r w:rsidR="00E11C5C" w:rsidRPr="00E11C5C">
        <w:t xml:space="preserve">Институт фундаментальных проблем биологии РАН </w:t>
      </w:r>
    </w:p>
    <w:p w:rsidR="00E11C5C" w:rsidRPr="00E11C5C" w:rsidRDefault="00E11C5C" w:rsidP="00E11C5C">
      <w:r w:rsidRPr="00E11C5C">
        <w:t>В статье представлена 25-летняя история развития экологического образования в современной России, в т.ч. в общеобразовательных организациях (дошкольное,</w:t>
      </w:r>
      <w:r w:rsidR="002A27C5">
        <w:t xml:space="preserve"> школьное образование), дополни</w:t>
      </w:r>
      <w:r w:rsidRPr="00E11C5C">
        <w:t>тельное образование детей (включая Всероссийские олимпиады школьников по экологии), среднее и высшее профессиональное экологическое образование. С учетом предстоящего Года экологии в России, в свете реализации Основ государственной политики в области экологического развития России на период до 2030 г. представлены предложения по сове</w:t>
      </w:r>
      <w:r w:rsidR="002A27C5">
        <w:t>ршенствованию экологического об</w:t>
      </w:r>
      <w:r w:rsidRPr="00E11C5C">
        <w:t xml:space="preserve">разования в стране. </w:t>
      </w:r>
    </w:p>
    <w:p w:rsidR="00E11C5C" w:rsidRPr="00E11C5C" w:rsidRDefault="00E11C5C" w:rsidP="00E11C5C">
      <w:r w:rsidRPr="00E11C5C">
        <w:t>Ключевые слова: экологическое образование, просвещение, в</w:t>
      </w:r>
      <w:r w:rsidR="002A27C5">
        <w:t>оспитание, формирование экологи</w:t>
      </w:r>
      <w:r w:rsidRPr="00E11C5C">
        <w:t>ческой культуры, дошкольное, школьное и дополнительное эколо</w:t>
      </w:r>
      <w:r w:rsidR="002A27C5">
        <w:t>гическое образование, профессио</w:t>
      </w:r>
      <w:r w:rsidRPr="00E11C5C">
        <w:t>нальное экологическое образование, экологическое образование для устойчивого развития.</w:t>
      </w:r>
    </w:p>
    <w:p w:rsidR="00E11C5C" w:rsidRPr="00E11C5C" w:rsidRDefault="00E11C5C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>Международный опыт</w:t>
      </w:r>
    </w:p>
    <w:p w:rsidR="002A27C5" w:rsidRDefault="002A27C5" w:rsidP="00E11C5C"/>
    <w:p w:rsidR="00E11C5C" w:rsidRPr="002A27C5" w:rsidRDefault="00E11C5C" w:rsidP="00E11C5C">
      <w:pPr>
        <w:rPr>
          <w:b/>
        </w:rPr>
      </w:pPr>
      <w:r w:rsidRPr="002A27C5">
        <w:rPr>
          <w:b/>
        </w:rPr>
        <w:t xml:space="preserve">НИОКР в лесном хозяйстве развитых стран </w:t>
      </w:r>
    </w:p>
    <w:p w:rsidR="00E11C5C" w:rsidRPr="00E11C5C" w:rsidRDefault="00E11C5C" w:rsidP="00E11C5C">
      <w:r w:rsidRPr="00E11C5C">
        <w:t xml:space="preserve">А.И. Писаренко, академик РАН, Российское общество лесоводов В.В. Страхов, д.с.-х.н., ВНИИЛМ Рослесхоза </w:t>
      </w:r>
    </w:p>
    <w:p w:rsidR="00E11C5C" w:rsidRPr="00E11C5C" w:rsidRDefault="00E11C5C" w:rsidP="00E11C5C">
      <w:r w:rsidRPr="00E11C5C">
        <w:t>В статье сжато изложен обзор тенденций развития НИОКР лесного хозяйства мира, особенно продвинутых в научном плане стран: США, Канады, Германии, Финляндии и России. В с</w:t>
      </w:r>
      <w:r w:rsidR="002A27C5">
        <w:t>илу их общей экономической и на</w:t>
      </w:r>
      <w:r w:rsidRPr="00E11C5C">
        <w:t>учно-технической мощи на эти страны приходится более 80% мировых англоязычных публикаций в области лесного хозяйства. Авторы сформулировали новые направления лесных исследований в мире. Показано, что в 2015 г. на НИОКР в области лесного хозяйства, в пересчёте затрат на один гектар земель, покрытых лесной растительностью, было истрачено в долл. США: США – 4,7; Канада – 1,6; Росс</w:t>
      </w:r>
      <w:r w:rsidR="00DB79F3">
        <w:t>ия – 0,01; Финляндия – 2,8. При</w:t>
      </w:r>
      <w:r w:rsidRPr="00E11C5C">
        <w:t xml:space="preserve">ведены оценки затрат на НИОКР в России. Показано, что по уровню расходов на НИОКР в % от ВВП, Россия – занимает в мире 32-е место (1,16% от ВВП). </w:t>
      </w:r>
    </w:p>
    <w:p w:rsidR="00E11C5C" w:rsidRPr="00E11C5C" w:rsidRDefault="00E11C5C" w:rsidP="00E11C5C">
      <w:r w:rsidRPr="00E11C5C">
        <w:t>Ключевые слова: НИОКР, лесное хозяйство, лесные исследования, зарубежные страны, затраты на НИОКР.</w:t>
      </w:r>
    </w:p>
    <w:p w:rsidR="00E11C5C" w:rsidRPr="00E11C5C" w:rsidRDefault="00E11C5C" w:rsidP="00E11C5C"/>
    <w:p w:rsidR="00E11C5C" w:rsidRPr="00DB79F3" w:rsidRDefault="00E11C5C" w:rsidP="00E11C5C">
      <w:pPr>
        <w:rPr>
          <w:b/>
        </w:rPr>
      </w:pPr>
      <w:r w:rsidRPr="00DB79F3">
        <w:rPr>
          <w:b/>
        </w:rPr>
        <w:t>Общество и природа</w:t>
      </w:r>
    </w:p>
    <w:p w:rsidR="00DB79F3" w:rsidRDefault="00DB79F3" w:rsidP="00E11C5C"/>
    <w:p w:rsidR="00E11C5C" w:rsidRPr="00DB79F3" w:rsidRDefault="00E11C5C" w:rsidP="00E11C5C">
      <w:pPr>
        <w:rPr>
          <w:b/>
        </w:rPr>
      </w:pPr>
      <w:r w:rsidRPr="00DB79F3">
        <w:rPr>
          <w:b/>
        </w:rPr>
        <w:lastRenderedPageBreak/>
        <w:t xml:space="preserve">Глобалистика как междисциплинарная область научного знания </w:t>
      </w:r>
    </w:p>
    <w:p w:rsidR="00E11C5C" w:rsidRPr="00E11C5C" w:rsidRDefault="00E11C5C" w:rsidP="00E11C5C">
      <w:r w:rsidRPr="00E11C5C">
        <w:t xml:space="preserve">А.Н. Чумаков, д.ф.н., проф., Президиум Российской экологической академии, Институт философии РАН </w:t>
      </w:r>
    </w:p>
    <w:p w:rsidR="00E11C5C" w:rsidRPr="00E11C5C" w:rsidRDefault="00E11C5C" w:rsidP="00E11C5C">
      <w:r w:rsidRPr="00E11C5C">
        <w:t>В статье обосновывается положение, что в системе современного науч</w:t>
      </w:r>
      <w:r w:rsidR="00DB79F3">
        <w:t>ного знания глобалистика занима</w:t>
      </w:r>
      <w:r w:rsidRPr="00E11C5C">
        <w:t>ет особое положение. Она не похожа ни на одну из конкретных дисциплин, так как является интегративным, междисциплинарным знанием о социо-природных процессах и проблемах</w:t>
      </w:r>
      <w:r w:rsidR="00DB79F3">
        <w:t>, границы которых заданы масшта</w:t>
      </w:r>
      <w:r w:rsidRPr="00E11C5C">
        <w:t xml:space="preserve">бом планеты. В отличие от отдельных наук, занимающихся тем или иным фрагментом, аспектом реальности, глобалистика нацелена на решение комплексных, жизненно важных для всего человечества задач, справиться с которыми можно только на пути междисциплинарного взаимодействия. </w:t>
      </w:r>
    </w:p>
    <w:p w:rsidR="00E11C5C" w:rsidRPr="00E11C5C" w:rsidRDefault="00E11C5C" w:rsidP="00E11C5C">
      <w:r w:rsidRPr="00E11C5C">
        <w:t>Ключевые слова: глобалистика, наука, глобализация, глобальные проблемы, знание, культура, человек.</w:t>
      </w:r>
    </w:p>
    <w:p w:rsidR="00E11C5C" w:rsidRPr="00E11C5C" w:rsidRDefault="00E11C5C" w:rsidP="00E11C5C"/>
    <w:p w:rsidR="00E11C5C" w:rsidRPr="00DB79F3" w:rsidRDefault="00E11C5C" w:rsidP="00E11C5C">
      <w:pPr>
        <w:rPr>
          <w:b/>
        </w:rPr>
      </w:pPr>
      <w:r w:rsidRPr="00DB79F3">
        <w:rPr>
          <w:b/>
        </w:rPr>
        <w:t>Календарь мероприятий</w:t>
      </w:r>
    </w:p>
    <w:p w:rsidR="00DB79F3" w:rsidRDefault="00DB79F3" w:rsidP="00E11C5C"/>
    <w:p w:rsidR="00E11C5C" w:rsidRPr="00E11C5C" w:rsidRDefault="00E11C5C" w:rsidP="00E11C5C">
      <w:r w:rsidRPr="00E11C5C">
        <w:t>РЕЗОЛЮЦИЯ Международного симпозиума «Биодиагностика и оценка качества природной среды: подходы, методы, критерии и эталоны сравнения в экотоксикологии» (25-28 октября 2016 г., МГУ им. М.В. Ломоносова)</w:t>
      </w:r>
    </w:p>
    <w:p w:rsidR="00E11C5C" w:rsidRPr="00E11C5C" w:rsidRDefault="00E11C5C" w:rsidP="00E11C5C"/>
    <w:p w:rsidR="00E11C5C" w:rsidRPr="00DB79F3" w:rsidRDefault="00E11C5C" w:rsidP="00E11C5C">
      <w:pPr>
        <w:rPr>
          <w:b/>
        </w:rPr>
      </w:pPr>
      <w:r w:rsidRPr="00DB79F3">
        <w:rPr>
          <w:b/>
        </w:rPr>
        <w:t>Книжная полка</w:t>
      </w:r>
    </w:p>
    <w:p w:rsidR="00DB79F3" w:rsidRDefault="00DB79F3" w:rsidP="00E11C5C"/>
    <w:p w:rsidR="00E11C5C" w:rsidRPr="00DB79F3" w:rsidRDefault="00E11C5C" w:rsidP="00E11C5C">
      <w:pPr>
        <w:rPr>
          <w:b/>
        </w:rPr>
      </w:pPr>
      <w:r w:rsidRPr="00DB79F3">
        <w:rPr>
          <w:b/>
        </w:rPr>
        <w:t xml:space="preserve">Роль мониторинга и охраны городских земель и территорий при освоении дисциплины «Мониторинг и охрана городской среды» в рамках подготовки специалистов по развитию территорий </w:t>
      </w:r>
    </w:p>
    <w:p w:rsidR="00E11C5C" w:rsidRPr="00E11C5C" w:rsidRDefault="00E11C5C" w:rsidP="00E11C5C">
      <w:r w:rsidRPr="00E11C5C">
        <w:t>Рецензия на книгу: Сизов А.П. Мониторинг и охрана городских территорий: Учебник / Рекомендован УМО по образованию в области геодезии и фотограмметрии для студентов бакалавриата по направлениям «Землеустройство и кадастры», «Геодезия и дистанционное зондирование». – М.: Изд. центр «Академия», 2016. – 224 с.</w:t>
      </w:r>
    </w:p>
    <w:p w:rsidR="00E11C5C" w:rsidRPr="00E11C5C" w:rsidRDefault="00E11C5C" w:rsidP="00E11C5C"/>
    <w:sectPr w:rsidR="00E11C5C" w:rsidRPr="00E11C5C" w:rsidSect="00E72EE4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446" w:rsidRDefault="00C17446" w:rsidP="004D303F">
      <w:r>
        <w:separator/>
      </w:r>
    </w:p>
  </w:endnote>
  <w:endnote w:type="continuationSeparator" w:id="1">
    <w:p w:rsidR="00C17446" w:rsidRDefault="00C17446" w:rsidP="004D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1326"/>
      <w:docPartObj>
        <w:docPartGallery w:val="Page Numbers (Bottom of Page)"/>
        <w:docPartUnique/>
      </w:docPartObj>
    </w:sdtPr>
    <w:sdtContent>
      <w:p w:rsidR="004D303F" w:rsidRDefault="00E50FAB">
        <w:pPr>
          <w:pStyle w:val="a6"/>
          <w:jc w:val="right"/>
        </w:pPr>
        <w:fldSimple w:instr=" PAGE   \* MERGEFORMAT ">
          <w:r w:rsidR="00DB79F3">
            <w:rPr>
              <w:noProof/>
            </w:rPr>
            <w:t>6</w:t>
          </w:r>
        </w:fldSimple>
      </w:p>
    </w:sdtContent>
  </w:sdt>
  <w:p w:rsidR="004D303F" w:rsidRDefault="004D30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446" w:rsidRDefault="00C17446" w:rsidP="004D303F">
      <w:r>
        <w:separator/>
      </w:r>
    </w:p>
  </w:footnote>
  <w:footnote w:type="continuationSeparator" w:id="1">
    <w:p w:rsidR="00C17446" w:rsidRDefault="00C17446" w:rsidP="004D3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AA2"/>
    <w:rsid w:val="00000898"/>
    <w:rsid w:val="000111DF"/>
    <w:rsid w:val="000119D1"/>
    <w:rsid w:val="00017304"/>
    <w:rsid w:val="00023BBD"/>
    <w:rsid w:val="000315DC"/>
    <w:rsid w:val="00066E98"/>
    <w:rsid w:val="00083532"/>
    <w:rsid w:val="000A7409"/>
    <w:rsid w:val="000B18D3"/>
    <w:rsid w:val="000D066F"/>
    <w:rsid w:val="000F0BA9"/>
    <w:rsid w:val="00136980"/>
    <w:rsid w:val="00136FDF"/>
    <w:rsid w:val="001403A3"/>
    <w:rsid w:val="00144A85"/>
    <w:rsid w:val="00147517"/>
    <w:rsid w:val="001503AE"/>
    <w:rsid w:val="00154099"/>
    <w:rsid w:val="00166519"/>
    <w:rsid w:val="001669FB"/>
    <w:rsid w:val="0016765B"/>
    <w:rsid w:val="00186F4C"/>
    <w:rsid w:val="001954EA"/>
    <w:rsid w:val="001B0150"/>
    <w:rsid w:val="001B1094"/>
    <w:rsid w:val="001B5213"/>
    <w:rsid w:val="001B6ABA"/>
    <w:rsid w:val="001C05A8"/>
    <w:rsid w:val="001C1E94"/>
    <w:rsid w:val="001F0228"/>
    <w:rsid w:val="00204131"/>
    <w:rsid w:val="002164E7"/>
    <w:rsid w:val="00231083"/>
    <w:rsid w:val="00231A2A"/>
    <w:rsid w:val="002335AC"/>
    <w:rsid w:val="0024464F"/>
    <w:rsid w:val="00245755"/>
    <w:rsid w:val="002658DF"/>
    <w:rsid w:val="00266185"/>
    <w:rsid w:val="002671A8"/>
    <w:rsid w:val="00290442"/>
    <w:rsid w:val="002966BD"/>
    <w:rsid w:val="002A27C5"/>
    <w:rsid w:val="002B1FEE"/>
    <w:rsid w:val="002C1BD7"/>
    <w:rsid w:val="002C6269"/>
    <w:rsid w:val="002D6D20"/>
    <w:rsid w:val="002E0125"/>
    <w:rsid w:val="002E5E15"/>
    <w:rsid w:val="00301601"/>
    <w:rsid w:val="00304692"/>
    <w:rsid w:val="00326832"/>
    <w:rsid w:val="0034135F"/>
    <w:rsid w:val="00356190"/>
    <w:rsid w:val="00364AFD"/>
    <w:rsid w:val="0036623C"/>
    <w:rsid w:val="00380CB3"/>
    <w:rsid w:val="003822CB"/>
    <w:rsid w:val="00383918"/>
    <w:rsid w:val="003845C0"/>
    <w:rsid w:val="003901CE"/>
    <w:rsid w:val="00393CC8"/>
    <w:rsid w:val="0039407F"/>
    <w:rsid w:val="003A3429"/>
    <w:rsid w:val="003C339B"/>
    <w:rsid w:val="003D5E61"/>
    <w:rsid w:val="003E4321"/>
    <w:rsid w:val="003F569B"/>
    <w:rsid w:val="004133F8"/>
    <w:rsid w:val="00426A79"/>
    <w:rsid w:val="00483F77"/>
    <w:rsid w:val="004A490A"/>
    <w:rsid w:val="004B2DFC"/>
    <w:rsid w:val="004C4F80"/>
    <w:rsid w:val="004D303F"/>
    <w:rsid w:val="004D699B"/>
    <w:rsid w:val="00515F8A"/>
    <w:rsid w:val="00521AEF"/>
    <w:rsid w:val="00525657"/>
    <w:rsid w:val="005262E9"/>
    <w:rsid w:val="005434F0"/>
    <w:rsid w:val="005504A9"/>
    <w:rsid w:val="00551872"/>
    <w:rsid w:val="005520DA"/>
    <w:rsid w:val="005918DD"/>
    <w:rsid w:val="005A49A5"/>
    <w:rsid w:val="005A6512"/>
    <w:rsid w:val="005A760A"/>
    <w:rsid w:val="005C6B5D"/>
    <w:rsid w:val="005D1EF9"/>
    <w:rsid w:val="005D2CC7"/>
    <w:rsid w:val="005E0D5D"/>
    <w:rsid w:val="005E29A9"/>
    <w:rsid w:val="005F041C"/>
    <w:rsid w:val="005F7DC6"/>
    <w:rsid w:val="00622166"/>
    <w:rsid w:val="00653CF1"/>
    <w:rsid w:val="00655D0F"/>
    <w:rsid w:val="00657D53"/>
    <w:rsid w:val="00661113"/>
    <w:rsid w:val="0066364C"/>
    <w:rsid w:val="00674BE5"/>
    <w:rsid w:val="00676DBD"/>
    <w:rsid w:val="00687821"/>
    <w:rsid w:val="00690B64"/>
    <w:rsid w:val="00694B49"/>
    <w:rsid w:val="006B1249"/>
    <w:rsid w:val="006B5947"/>
    <w:rsid w:val="006C4DB2"/>
    <w:rsid w:val="006C59FB"/>
    <w:rsid w:val="006D0130"/>
    <w:rsid w:val="006E1EB7"/>
    <w:rsid w:val="006F2AA2"/>
    <w:rsid w:val="00710959"/>
    <w:rsid w:val="00722E58"/>
    <w:rsid w:val="007304B9"/>
    <w:rsid w:val="0073706B"/>
    <w:rsid w:val="00744925"/>
    <w:rsid w:val="00744D45"/>
    <w:rsid w:val="0075774A"/>
    <w:rsid w:val="00763AE9"/>
    <w:rsid w:val="00766878"/>
    <w:rsid w:val="00781C8F"/>
    <w:rsid w:val="00787C9A"/>
    <w:rsid w:val="00796DF7"/>
    <w:rsid w:val="007A755A"/>
    <w:rsid w:val="007A7AB2"/>
    <w:rsid w:val="007B6D35"/>
    <w:rsid w:val="007B6F67"/>
    <w:rsid w:val="007B7B0E"/>
    <w:rsid w:val="007C04EB"/>
    <w:rsid w:val="00807A71"/>
    <w:rsid w:val="008111A3"/>
    <w:rsid w:val="00827F23"/>
    <w:rsid w:val="00831815"/>
    <w:rsid w:val="0084207A"/>
    <w:rsid w:val="00853902"/>
    <w:rsid w:val="00866883"/>
    <w:rsid w:val="00870768"/>
    <w:rsid w:val="008738FC"/>
    <w:rsid w:val="008762CF"/>
    <w:rsid w:val="00880D3E"/>
    <w:rsid w:val="00885B1D"/>
    <w:rsid w:val="00886A68"/>
    <w:rsid w:val="00894F76"/>
    <w:rsid w:val="008A0E6E"/>
    <w:rsid w:val="008C3E0F"/>
    <w:rsid w:val="008D08DD"/>
    <w:rsid w:val="008E7344"/>
    <w:rsid w:val="008F29AB"/>
    <w:rsid w:val="0092002B"/>
    <w:rsid w:val="00931238"/>
    <w:rsid w:val="0093628C"/>
    <w:rsid w:val="009374D3"/>
    <w:rsid w:val="00947EDC"/>
    <w:rsid w:val="009766EA"/>
    <w:rsid w:val="00981BEE"/>
    <w:rsid w:val="0098588B"/>
    <w:rsid w:val="00995D0A"/>
    <w:rsid w:val="009B32EE"/>
    <w:rsid w:val="009B7F33"/>
    <w:rsid w:val="009D24A2"/>
    <w:rsid w:val="009D4AB4"/>
    <w:rsid w:val="009D517D"/>
    <w:rsid w:val="009D66F7"/>
    <w:rsid w:val="00A137D5"/>
    <w:rsid w:val="00A1681C"/>
    <w:rsid w:val="00A209E6"/>
    <w:rsid w:val="00A21F46"/>
    <w:rsid w:val="00A23EE7"/>
    <w:rsid w:val="00A246C5"/>
    <w:rsid w:val="00A3211C"/>
    <w:rsid w:val="00A52CF4"/>
    <w:rsid w:val="00A72FF9"/>
    <w:rsid w:val="00A773EB"/>
    <w:rsid w:val="00A9282F"/>
    <w:rsid w:val="00A97E0A"/>
    <w:rsid w:val="00AA5812"/>
    <w:rsid w:val="00AC4E9B"/>
    <w:rsid w:val="00AD47A2"/>
    <w:rsid w:val="00AE1075"/>
    <w:rsid w:val="00AE2A5B"/>
    <w:rsid w:val="00AE5898"/>
    <w:rsid w:val="00AF7B7C"/>
    <w:rsid w:val="00B019EB"/>
    <w:rsid w:val="00B163D4"/>
    <w:rsid w:val="00B16EC6"/>
    <w:rsid w:val="00B3424D"/>
    <w:rsid w:val="00B45464"/>
    <w:rsid w:val="00B46C2D"/>
    <w:rsid w:val="00B47A76"/>
    <w:rsid w:val="00B513BA"/>
    <w:rsid w:val="00B65AEB"/>
    <w:rsid w:val="00B773CA"/>
    <w:rsid w:val="00B81626"/>
    <w:rsid w:val="00B86BB4"/>
    <w:rsid w:val="00B91B3D"/>
    <w:rsid w:val="00BC2CCB"/>
    <w:rsid w:val="00BC5218"/>
    <w:rsid w:val="00BE7BFB"/>
    <w:rsid w:val="00C019F4"/>
    <w:rsid w:val="00C03ACF"/>
    <w:rsid w:val="00C15257"/>
    <w:rsid w:val="00C17446"/>
    <w:rsid w:val="00C22FCD"/>
    <w:rsid w:val="00C26E99"/>
    <w:rsid w:val="00C33777"/>
    <w:rsid w:val="00C45F18"/>
    <w:rsid w:val="00C472AF"/>
    <w:rsid w:val="00C56BAF"/>
    <w:rsid w:val="00C82629"/>
    <w:rsid w:val="00C86DD0"/>
    <w:rsid w:val="00CA015A"/>
    <w:rsid w:val="00CB40BE"/>
    <w:rsid w:val="00CC078F"/>
    <w:rsid w:val="00CC2271"/>
    <w:rsid w:val="00CC27E9"/>
    <w:rsid w:val="00CD0388"/>
    <w:rsid w:val="00D029D8"/>
    <w:rsid w:val="00D03AB7"/>
    <w:rsid w:val="00D05B31"/>
    <w:rsid w:val="00D2477C"/>
    <w:rsid w:val="00D42061"/>
    <w:rsid w:val="00D44F81"/>
    <w:rsid w:val="00D46654"/>
    <w:rsid w:val="00D565FA"/>
    <w:rsid w:val="00D5677E"/>
    <w:rsid w:val="00D669DE"/>
    <w:rsid w:val="00D70F1D"/>
    <w:rsid w:val="00D75117"/>
    <w:rsid w:val="00D75C23"/>
    <w:rsid w:val="00D95B63"/>
    <w:rsid w:val="00DA06CA"/>
    <w:rsid w:val="00DB79F3"/>
    <w:rsid w:val="00DC40F0"/>
    <w:rsid w:val="00DC426D"/>
    <w:rsid w:val="00DC5B1F"/>
    <w:rsid w:val="00DD4DE7"/>
    <w:rsid w:val="00DF3D62"/>
    <w:rsid w:val="00E11C5C"/>
    <w:rsid w:val="00E2738E"/>
    <w:rsid w:val="00E31117"/>
    <w:rsid w:val="00E32C93"/>
    <w:rsid w:val="00E33121"/>
    <w:rsid w:val="00E369B6"/>
    <w:rsid w:val="00E470F1"/>
    <w:rsid w:val="00E50FAB"/>
    <w:rsid w:val="00E66085"/>
    <w:rsid w:val="00E67B15"/>
    <w:rsid w:val="00E750ED"/>
    <w:rsid w:val="00E81BF0"/>
    <w:rsid w:val="00E863A2"/>
    <w:rsid w:val="00E92A25"/>
    <w:rsid w:val="00E95DBD"/>
    <w:rsid w:val="00E95DC3"/>
    <w:rsid w:val="00ED1F28"/>
    <w:rsid w:val="00ED2083"/>
    <w:rsid w:val="00ED4828"/>
    <w:rsid w:val="00ED7FD5"/>
    <w:rsid w:val="00F0328A"/>
    <w:rsid w:val="00F06843"/>
    <w:rsid w:val="00F14962"/>
    <w:rsid w:val="00F418C9"/>
    <w:rsid w:val="00F4397C"/>
    <w:rsid w:val="00F453B1"/>
    <w:rsid w:val="00F522CB"/>
    <w:rsid w:val="00F735DB"/>
    <w:rsid w:val="00F80AC8"/>
    <w:rsid w:val="00F83B29"/>
    <w:rsid w:val="00F86987"/>
    <w:rsid w:val="00FA70FE"/>
    <w:rsid w:val="00FC0F8E"/>
    <w:rsid w:val="00FC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A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5464"/>
    <w:pPr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4D30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03F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4D30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303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3</cp:revision>
  <dcterms:created xsi:type="dcterms:W3CDTF">2017-02-22T07:50:00Z</dcterms:created>
  <dcterms:modified xsi:type="dcterms:W3CDTF">2017-02-22T08:15:00Z</dcterms:modified>
</cp:coreProperties>
</file>